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pBdr>
          <w:bottom w:val="single" w:color="auto" w:sz="6" w:space="1"/>
        </w:pBdr>
        <w:jc w:val="center"/>
        <w:rPr>
          <w:rFonts w:ascii="Arial" w:hAnsi="Arial" w:eastAsia="宋体" w:cs="Arial"/>
          <w:vanish/>
          <w:kern w:val="0"/>
          <w:sz w:val="16"/>
          <w:szCs w:val="16"/>
        </w:rPr>
      </w:pPr>
      <w:r>
        <w:rPr>
          <w:rFonts w:hint="eastAsia" w:ascii="Arial" w:hAnsi="Arial" w:eastAsia="宋体" w:cs="Arial"/>
          <w:vanish/>
          <w:kern w:val="0"/>
          <w:sz w:val="16"/>
          <w:szCs w:val="16"/>
        </w:rPr>
        <w:t>窗体顶端</w:t>
      </w:r>
    </w:p>
    <w:p>
      <w:pPr>
        <w:widowControl/>
        <w:pBdr>
          <w:top w:val="single" w:color="auto" w:sz="6" w:space="1"/>
        </w:pBdr>
        <w:jc w:val="center"/>
        <w:rPr>
          <w:rFonts w:ascii="Arial" w:hAnsi="Arial" w:eastAsia="宋体" w:cs="Arial"/>
          <w:vanish/>
          <w:kern w:val="0"/>
          <w:sz w:val="16"/>
          <w:szCs w:val="16"/>
        </w:rPr>
      </w:pPr>
      <w:r>
        <w:rPr>
          <w:rFonts w:hint="eastAsia" w:ascii="Arial" w:hAnsi="Arial" w:eastAsia="宋体" w:cs="Arial"/>
          <w:vanish/>
          <w:kern w:val="0"/>
          <w:sz w:val="16"/>
          <w:szCs w:val="16"/>
        </w:rPr>
        <w:t>窗体底端</w:t>
      </w:r>
    </w:p>
    <w:p>
      <w:pPr>
        <w:widowControl/>
        <w:shd w:val="clear" w:color="auto" w:fill="FFFFFF"/>
        <w:spacing w:line="240" w:lineRule="atLeast"/>
        <w:jc w:val="both"/>
        <w:rPr>
          <w:rFonts w:ascii="Verdana" w:hAnsi="Verdana" w:eastAsia="宋体" w:cs="宋体"/>
          <w:b/>
          <w:bCs/>
          <w:color w:val="0E2D5F"/>
          <w:kern w:val="0"/>
          <w:sz w:val="18"/>
          <w:szCs w:val="18"/>
        </w:rPr>
      </w:pPr>
    </w:p>
    <w:p>
      <w:pPr>
        <w:widowControl/>
        <w:shd w:val="clear" w:color="auto" w:fill="FFFFFF"/>
        <w:spacing w:line="240" w:lineRule="atLeast"/>
        <w:jc w:val="center"/>
        <w:rPr>
          <w:rFonts w:ascii="Verdana" w:hAnsi="Verdana" w:eastAsia="宋体" w:cs="宋体"/>
          <w:b/>
          <w:bCs/>
          <w:color w:val="0E2D5F"/>
          <w:kern w:val="0"/>
          <w:sz w:val="32"/>
          <w:szCs w:val="32"/>
        </w:rPr>
      </w:pPr>
      <w:r>
        <w:rPr>
          <w:rFonts w:hint="eastAsia" w:ascii="Verdana" w:hAnsi="Verdana" w:eastAsia="宋体" w:cs="宋体"/>
          <w:b/>
          <w:bCs/>
          <w:color w:val="0E2D5F"/>
          <w:kern w:val="0"/>
          <w:sz w:val="32"/>
          <w:szCs w:val="32"/>
          <w:lang w:val="en-US" w:eastAsia="zh-CN"/>
        </w:rPr>
        <w:t>技术合同登记表</w:t>
      </w:r>
    </w:p>
    <w:tbl>
      <w:tblPr>
        <w:tblStyle w:val="4"/>
        <w:tblpPr w:leftFromText="180" w:rightFromText="180" w:vertAnchor="text" w:horzAnchor="page" w:tblpX="236" w:tblpY="279"/>
        <w:tblOverlap w:val="never"/>
        <w:tblW w:w="11700" w:type="dxa"/>
        <w:tblInd w:w="0" w:type="dxa"/>
        <w:tblBorders>
          <w:top w:val="none" w:color="auto" w:sz="0" w:space="0"/>
          <w:left w:val="single" w:color="888888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69"/>
        <w:gridCol w:w="9331"/>
      </w:tblGrid>
      <w:tr>
        <w:tblPrEx>
          <w:tblBorders>
            <w:top w:val="none" w:color="auto" w:sz="0" w:space="0"/>
            <w:left w:val="single" w:color="888888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9" w:hRule="atLeast"/>
        </w:trPr>
        <w:tc>
          <w:tcPr>
            <w:tcW w:w="2369" w:type="dxa"/>
            <w:tcBorders>
              <w:top w:val="single" w:color="auto" w:sz="4" w:space="0"/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项目名称：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18"/>
                <w:szCs w:val="18"/>
              </w:rPr>
              <w:t>必填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9331" w:type="dxa"/>
            <w:tcBorders>
              <w:top w:val="single" w:color="auto" w:sz="4" w:space="0"/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single" w:color="888888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369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登记机构：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18"/>
                <w:szCs w:val="18"/>
              </w:rPr>
              <w:t>必填</w:t>
            </w:r>
          </w:p>
        </w:tc>
        <w:tc>
          <w:tcPr>
            <w:tcW w:w="9331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海南省海口市登记处</w:t>
            </w:r>
          </w:p>
        </w:tc>
      </w:tr>
      <w:tr>
        <w:tblPrEx>
          <w:tblBorders>
            <w:top w:val="none" w:color="auto" w:sz="0" w:space="0"/>
            <w:left w:val="single" w:color="888888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69" w:type="dxa"/>
            <w:vAlign w:val="center"/>
          </w:tcPr>
          <w:p>
            <w:pPr>
              <w:widowControl/>
              <w:spacing w:line="225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33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>
      <w:pPr>
        <w:widowControl/>
        <w:shd w:val="clear" w:color="auto" w:fill="FFFFFF"/>
        <w:spacing w:line="240" w:lineRule="atLeast"/>
        <w:jc w:val="both"/>
        <w:rPr>
          <w:rFonts w:ascii="Verdana" w:hAnsi="Verdana" w:eastAsia="宋体" w:cs="宋体"/>
          <w:b/>
          <w:bCs/>
          <w:color w:val="0E2D5F"/>
          <w:kern w:val="0"/>
          <w:sz w:val="18"/>
          <w:szCs w:val="18"/>
        </w:rPr>
      </w:pPr>
    </w:p>
    <w:p>
      <w:pPr>
        <w:widowControl/>
        <w:shd w:val="clear" w:color="auto" w:fill="FFFFFF"/>
        <w:spacing w:line="240" w:lineRule="atLeast"/>
        <w:jc w:val="center"/>
        <w:rPr>
          <w:rFonts w:ascii="Verdana" w:hAnsi="Verdana" w:eastAsia="宋体" w:cs="宋体"/>
          <w:b/>
          <w:bCs/>
          <w:color w:val="0E2D5F"/>
          <w:kern w:val="0"/>
          <w:sz w:val="18"/>
          <w:szCs w:val="18"/>
        </w:rPr>
      </w:pPr>
      <w:r>
        <w:rPr>
          <w:rFonts w:ascii="Verdana" w:hAnsi="Verdana" w:eastAsia="宋体" w:cs="宋体"/>
          <w:b/>
          <w:bCs/>
          <w:color w:val="0E2D5F"/>
          <w:kern w:val="0"/>
          <w:sz w:val="18"/>
          <w:szCs w:val="18"/>
        </w:rPr>
        <w:t>卖方信息</w:t>
      </w:r>
    </w:p>
    <w:p>
      <w:pPr>
        <w:widowControl/>
        <w:pBdr>
          <w:bottom w:val="single" w:color="auto" w:sz="6" w:space="1"/>
        </w:pBdr>
        <w:jc w:val="center"/>
        <w:rPr>
          <w:rFonts w:ascii="Arial" w:hAnsi="Arial" w:eastAsia="宋体" w:cs="Arial"/>
          <w:vanish/>
          <w:kern w:val="0"/>
          <w:sz w:val="16"/>
          <w:szCs w:val="16"/>
        </w:rPr>
      </w:pPr>
      <w:r>
        <w:rPr>
          <w:rFonts w:hint="eastAsia" w:ascii="Arial" w:hAnsi="Arial" w:eastAsia="宋体" w:cs="Arial"/>
          <w:vanish/>
          <w:kern w:val="0"/>
          <w:sz w:val="16"/>
          <w:szCs w:val="16"/>
        </w:rPr>
        <w:t>窗体顶端</w:t>
      </w:r>
    </w:p>
    <w:tbl>
      <w:tblPr>
        <w:tblStyle w:val="4"/>
        <w:tblW w:w="11700" w:type="dxa"/>
        <w:jc w:val="center"/>
        <w:tblBorders>
          <w:top w:val="none" w:color="auto" w:sz="0" w:space="0"/>
          <w:left w:val="single" w:color="888888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47"/>
        <w:gridCol w:w="3288"/>
        <w:gridCol w:w="2447"/>
        <w:gridCol w:w="3518"/>
      </w:tblGrid>
      <w:tr>
        <w:tblPrEx>
          <w:tblBorders>
            <w:top w:val="none" w:color="auto" w:sz="0" w:space="0"/>
            <w:left w:val="single" w:color="888888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400" w:type="dxa"/>
            <w:tcBorders>
              <w:top w:val="single" w:color="auto" w:sz="4" w:space="0"/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卖方名称：</w:t>
            </w:r>
          </w:p>
        </w:tc>
        <w:tc>
          <w:tcPr>
            <w:tcW w:w="9075" w:type="dxa"/>
            <w:gridSpan w:val="3"/>
            <w:tcBorders>
              <w:top w:val="single" w:color="auto" w:sz="4" w:space="0"/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海南经贸职业技术学院</w:t>
            </w:r>
          </w:p>
        </w:tc>
      </w:tr>
      <w:tr>
        <w:tblPrEx>
          <w:tblBorders>
            <w:top w:val="none" w:color="auto" w:sz="0" w:space="0"/>
            <w:left w:val="single" w:color="888888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400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国别代码：</w:t>
            </w:r>
          </w:p>
        </w:tc>
        <w:tc>
          <w:tcPr>
            <w:tcW w:w="3225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亚洲--中华人民共和国(CN)</w:t>
            </w:r>
          </w:p>
        </w:tc>
        <w:tc>
          <w:tcPr>
            <w:tcW w:w="2400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邮政编码：</w:t>
            </w:r>
          </w:p>
        </w:tc>
        <w:tc>
          <w:tcPr>
            <w:tcW w:w="3240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571127</w:t>
            </w:r>
          </w:p>
        </w:tc>
      </w:tr>
      <w:tr>
        <w:tblPrEx>
          <w:tblBorders>
            <w:top w:val="none" w:color="auto" w:sz="0" w:space="0"/>
            <w:left w:val="single" w:color="888888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400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卖方性质：</w:t>
            </w:r>
          </w:p>
        </w:tc>
        <w:tc>
          <w:tcPr>
            <w:tcW w:w="9075" w:type="dxa"/>
            <w:gridSpan w:val="3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事业法人--高等院校</w:t>
            </w:r>
          </w:p>
        </w:tc>
      </w:tr>
      <w:tr>
        <w:tblPrEx>
          <w:tblBorders>
            <w:top w:val="none" w:color="auto" w:sz="0" w:space="0"/>
            <w:left w:val="single" w:color="888888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400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行政区代码：</w:t>
            </w:r>
          </w:p>
        </w:tc>
        <w:tc>
          <w:tcPr>
            <w:tcW w:w="9075" w:type="dxa"/>
            <w:gridSpan w:val="3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海南省--海口市--美兰区</w:t>
            </w:r>
          </w:p>
        </w:tc>
      </w:tr>
      <w:tr>
        <w:tblPrEx>
          <w:tblBorders>
            <w:top w:val="none" w:color="auto" w:sz="0" w:space="0"/>
            <w:left w:val="single" w:color="888888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400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注册地址：</w:t>
            </w:r>
          </w:p>
        </w:tc>
        <w:tc>
          <w:tcPr>
            <w:tcW w:w="9075" w:type="dxa"/>
            <w:gridSpan w:val="3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海口市桂林洋开发区</w:t>
            </w:r>
          </w:p>
        </w:tc>
      </w:tr>
      <w:tr>
        <w:tblPrEx>
          <w:tblBorders>
            <w:top w:val="none" w:color="auto" w:sz="0" w:space="0"/>
            <w:left w:val="single" w:color="888888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400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机构从事的国民经济行业：</w:t>
            </w:r>
          </w:p>
        </w:tc>
        <w:tc>
          <w:tcPr>
            <w:tcW w:w="3225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教育</w:t>
            </w:r>
          </w:p>
        </w:tc>
        <w:tc>
          <w:tcPr>
            <w:tcW w:w="2400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法定代表人：</w:t>
            </w:r>
          </w:p>
        </w:tc>
        <w:tc>
          <w:tcPr>
            <w:tcW w:w="3240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黄景贵</w:t>
            </w:r>
          </w:p>
        </w:tc>
      </w:tr>
    </w:tbl>
    <w:p>
      <w:pPr>
        <w:widowControl/>
        <w:shd w:val="clear" w:color="auto" w:fill="FFFFFF"/>
        <w:jc w:val="center"/>
        <w:rPr>
          <w:rFonts w:ascii="Verdana" w:hAnsi="Verdana" w:eastAsia="宋体" w:cs="宋体"/>
          <w:vanish/>
          <w:color w:val="000000"/>
          <w:kern w:val="0"/>
          <w:sz w:val="18"/>
          <w:szCs w:val="18"/>
        </w:rPr>
      </w:pPr>
    </w:p>
    <w:tbl>
      <w:tblPr>
        <w:tblStyle w:val="4"/>
        <w:tblW w:w="11700" w:type="dxa"/>
        <w:jc w:val="center"/>
        <w:tblBorders>
          <w:top w:val="none" w:color="auto" w:sz="0" w:space="0"/>
          <w:left w:val="single" w:color="888888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92"/>
        <w:gridCol w:w="3365"/>
        <w:gridCol w:w="2493"/>
        <w:gridCol w:w="3350"/>
      </w:tblGrid>
      <w:tr>
        <w:tblPrEx>
          <w:tblBorders>
            <w:top w:val="none" w:color="auto" w:sz="0" w:space="0"/>
            <w:left w:val="single" w:color="888888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400" w:type="dxa"/>
            <w:vMerge w:val="restart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联系人：</w:t>
            </w:r>
          </w:p>
        </w:tc>
        <w:tc>
          <w:tcPr>
            <w:tcW w:w="3240" w:type="dxa"/>
            <w:vMerge w:val="restart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许汝言</w:t>
            </w:r>
          </w:p>
        </w:tc>
        <w:tc>
          <w:tcPr>
            <w:tcW w:w="2400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联系电话：</w:t>
            </w:r>
          </w:p>
        </w:tc>
        <w:tc>
          <w:tcPr>
            <w:tcW w:w="3225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15501911505</w:t>
            </w:r>
          </w:p>
        </w:tc>
      </w:tr>
      <w:tr>
        <w:tblPrEx>
          <w:tblBorders>
            <w:top w:val="none" w:color="auto" w:sz="0" w:space="0"/>
            <w:left w:val="single" w:color="888888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bottom w:val="single" w:color="888888" w:sz="6" w:space="0"/>
              <w:right w:val="single" w:color="888888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bottom w:val="single" w:color="888888" w:sz="6" w:space="0"/>
              <w:right w:val="single" w:color="888888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电子邮件：</w:t>
            </w:r>
          </w:p>
        </w:tc>
        <w:tc>
          <w:tcPr>
            <w:tcW w:w="3225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pBdr>
          <w:top w:val="single" w:color="auto" w:sz="6" w:space="1"/>
        </w:pBdr>
        <w:jc w:val="center"/>
        <w:rPr>
          <w:rFonts w:ascii="Arial" w:hAnsi="Arial" w:eastAsia="宋体" w:cs="Arial"/>
          <w:vanish/>
          <w:kern w:val="0"/>
          <w:sz w:val="16"/>
          <w:szCs w:val="16"/>
        </w:rPr>
      </w:pPr>
      <w:r>
        <w:rPr>
          <w:rFonts w:hint="eastAsia" w:ascii="Arial" w:hAnsi="Arial" w:eastAsia="宋体" w:cs="Arial"/>
          <w:vanish/>
          <w:kern w:val="0"/>
          <w:sz w:val="16"/>
          <w:szCs w:val="16"/>
        </w:rPr>
        <w:t>窗体底端</w:t>
      </w:r>
    </w:p>
    <w:p>
      <w:pPr>
        <w:widowControl/>
        <w:shd w:val="clear" w:color="auto" w:fill="FFFFFF"/>
        <w:spacing w:line="240" w:lineRule="atLeast"/>
        <w:jc w:val="center"/>
        <w:rPr>
          <w:rFonts w:ascii="Verdana" w:hAnsi="Verdana" w:eastAsia="宋体" w:cs="宋体"/>
          <w:b/>
          <w:bCs/>
          <w:color w:val="0E2D5F"/>
          <w:kern w:val="0"/>
          <w:sz w:val="18"/>
          <w:szCs w:val="18"/>
        </w:rPr>
      </w:pPr>
      <w:r>
        <w:rPr>
          <w:rFonts w:ascii="Verdana" w:hAnsi="Verdana" w:eastAsia="宋体" w:cs="宋体"/>
          <w:b/>
          <w:bCs/>
          <w:color w:val="0E2D5F"/>
          <w:kern w:val="0"/>
          <w:sz w:val="18"/>
          <w:szCs w:val="18"/>
        </w:rPr>
        <w:t>买方信息</w:t>
      </w:r>
    </w:p>
    <w:p>
      <w:pPr>
        <w:widowControl/>
        <w:pBdr>
          <w:bottom w:val="single" w:color="auto" w:sz="6" w:space="1"/>
        </w:pBdr>
        <w:jc w:val="center"/>
        <w:rPr>
          <w:rFonts w:ascii="Arial" w:hAnsi="Arial" w:eastAsia="宋体" w:cs="Arial"/>
          <w:vanish/>
          <w:kern w:val="0"/>
          <w:sz w:val="16"/>
          <w:szCs w:val="16"/>
        </w:rPr>
      </w:pPr>
      <w:r>
        <w:rPr>
          <w:rFonts w:hint="eastAsia" w:ascii="Arial" w:hAnsi="Arial" w:eastAsia="宋体" w:cs="Arial"/>
          <w:vanish/>
          <w:kern w:val="0"/>
          <w:sz w:val="16"/>
          <w:szCs w:val="16"/>
        </w:rPr>
        <w:t>窗体顶端</w:t>
      </w:r>
    </w:p>
    <w:tbl>
      <w:tblPr>
        <w:tblStyle w:val="4"/>
        <w:tblW w:w="11700" w:type="dxa"/>
        <w:jc w:val="center"/>
        <w:tblBorders>
          <w:top w:val="none" w:color="auto" w:sz="0" w:space="0"/>
          <w:left w:val="single" w:color="888888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47"/>
        <w:gridCol w:w="3304"/>
        <w:gridCol w:w="2447"/>
        <w:gridCol w:w="3502"/>
      </w:tblGrid>
      <w:tr>
        <w:tblPrEx>
          <w:tblBorders>
            <w:top w:val="none" w:color="auto" w:sz="0" w:space="0"/>
            <w:left w:val="single" w:color="888888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400" w:type="dxa"/>
            <w:tcBorders>
              <w:top w:val="single" w:color="auto" w:sz="4" w:space="0"/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买方名称： 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18"/>
                <w:szCs w:val="18"/>
              </w:rPr>
              <w:t>必填</w:t>
            </w:r>
          </w:p>
        </w:tc>
        <w:tc>
          <w:tcPr>
            <w:tcW w:w="9075" w:type="dxa"/>
            <w:gridSpan w:val="3"/>
            <w:tcBorders>
              <w:top w:val="single" w:color="auto" w:sz="4" w:space="0"/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single" w:color="888888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400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国别代码： 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18"/>
                <w:szCs w:val="18"/>
              </w:rPr>
              <w:t>必填</w:t>
            </w:r>
          </w:p>
        </w:tc>
        <w:tc>
          <w:tcPr>
            <w:tcW w:w="3225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亚洲--中华人民共和国(CN)（境外填具体国家或地区名称）</w:t>
            </w:r>
          </w:p>
        </w:tc>
        <w:tc>
          <w:tcPr>
            <w:tcW w:w="2400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邮政编码：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18"/>
                <w:szCs w:val="18"/>
              </w:rPr>
              <w:t>必填</w:t>
            </w:r>
          </w:p>
        </w:tc>
        <w:tc>
          <w:tcPr>
            <w:tcW w:w="3240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single" w:color="888888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400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买方性质： 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18"/>
                <w:szCs w:val="18"/>
              </w:rPr>
              <w:t>必填（选择）</w:t>
            </w:r>
          </w:p>
        </w:tc>
        <w:tc>
          <w:tcPr>
            <w:tcW w:w="9075" w:type="dxa"/>
            <w:gridSpan w:val="3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机关法人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国家级行政机关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省级行政机关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市级行政机关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县级及以下行政机关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事业法人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科研机构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高等院校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医疗、卫生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其它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社团法人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国家民政机关批准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省市民政机关批准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区县民政机关批准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企业法人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内资企业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: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国有企业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集体企业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股份合作企业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联营企业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有限责任公司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股份有限公司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私营企业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其他企业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    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港澳台商投资企业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: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合资经营企业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合作经营企业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独资经营企业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港澳台商投资股份有限公司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    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外商投资企业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: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中外合资经营企业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中外合作经营企业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外资企业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外商投资股份有限公司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    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个体经营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: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个体工商户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个人合伙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    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境外企业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: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港澳台企业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外国企业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自然人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：  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中国籍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: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大陆公民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港澳台同胞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    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外国籍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: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华人、华侨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外国人</w:t>
            </w:r>
          </w:p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其他组织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其他外国组织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其他国内组织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单位分支机构</w:t>
            </w:r>
          </w:p>
        </w:tc>
      </w:tr>
      <w:tr>
        <w:tblPrEx>
          <w:tblBorders>
            <w:top w:val="none" w:color="auto" w:sz="0" w:space="0"/>
            <w:left w:val="single" w:color="888888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400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行政区划代码：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18"/>
                <w:szCs w:val="18"/>
              </w:rPr>
              <w:t>必填</w:t>
            </w:r>
          </w:p>
        </w:tc>
        <w:tc>
          <w:tcPr>
            <w:tcW w:w="9075" w:type="dxa"/>
            <w:gridSpan w:val="3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县级或地市级区划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例如海口市美兰区或海南省万宁市</w:t>
            </w:r>
          </w:p>
        </w:tc>
      </w:tr>
      <w:tr>
        <w:tblPrEx>
          <w:tblBorders>
            <w:top w:val="none" w:color="auto" w:sz="0" w:space="0"/>
            <w:left w:val="single" w:color="888888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400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注册地址： 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18"/>
                <w:szCs w:val="18"/>
              </w:rPr>
              <w:t>必填</w:t>
            </w:r>
          </w:p>
        </w:tc>
        <w:tc>
          <w:tcPr>
            <w:tcW w:w="9075" w:type="dxa"/>
            <w:gridSpan w:val="3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按照营业执照或法人证填</w:t>
            </w:r>
          </w:p>
        </w:tc>
      </w:tr>
      <w:tr>
        <w:tblPrEx>
          <w:tblBorders>
            <w:top w:val="none" w:color="auto" w:sz="0" w:space="0"/>
            <w:left w:val="single" w:color="888888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400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是否技术转移机构：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18"/>
                <w:szCs w:val="18"/>
              </w:rPr>
              <w:t>必填（选择）</w:t>
            </w:r>
          </w:p>
        </w:tc>
        <w:tc>
          <w:tcPr>
            <w:tcW w:w="3240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ind w:left="0"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eastAsia="宋体" w:cs="宋体"/>
                <w:b/>
                <w:color w:val="000000"/>
                <w:kern w:val="0"/>
                <w:sz w:val="18"/>
                <w:szCs w:val="18"/>
              </w:rPr>
              <w:t>是</w:t>
            </w:r>
            <w:r>
              <w:rPr>
                <w:rFonts w:hint="eastAsia" w:ascii="Verdana" w:hAnsi="Verdana" w:eastAsia="宋体" w:cs="宋体"/>
                <w:b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技术投融资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技术集成与应用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其他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技术中试与孵化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技术经营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技术信息加工与整理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技术评估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技术（产权）交易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。</w:t>
            </w:r>
          </w:p>
          <w:p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ind w:left="0"/>
              <w:jc w:val="left"/>
              <w:rPr>
                <w:rFonts w:ascii="Verdana" w:hAnsi="Verdana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eastAsia="宋体" w:cs="宋体"/>
                <w:b/>
                <w:color w:val="000000"/>
                <w:kern w:val="0"/>
                <w:sz w:val="18"/>
                <w:szCs w:val="18"/>
              </w:rPr>
              <w:t>否</w:t>
            </w:r>
            <w:r>
              <w:rPr>
                <w:rFonts w:hint="eastAsia" w:ascii="Verdana" w:hAnsi="Verdana" w:eastAsia="宋体" w:cs="宋体"/>
                <w:b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2400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技术转移机构类型：</w:t>
            </w:r>
          </w:p>
        </w:tc>
        <w:tc>
          <w:tcPr>
            <w:tcW w:w="3225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single" w:color="888888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400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是否国家级高新区内企业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18"/>
                <w:szCs w:val="18"/>
              </w:rPr>
              <w:t>必填（选择）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</w:t>
            </w:r>
          </w:p>
        </w:tc>
        <w:tc>
          <w:tcPr>
            <w:tcW w:w="3225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如是，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18"/>
                <w:szCs w:val="18"/>
              </w:rPr>
              <w:t xml:space="preserve">必填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所属园区：</w:t>
            </w:r>
          </w:p>
        </w:tc>
        <w:tc>
          <w:tcPr>
            <w:tcW w:w="3240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single" w:color="888888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400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机构从事的国民经济行业： 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18"/>
                <w:szCs w:val="18"/>
              </w:rPr>
              <w:t>必填（选择）</w:t>
            </w:r>
          </w:p>
        </w:tc>
        <w:tc>
          <w:tcPr>
            <w:tcW w:w="2400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电力、热力、燃气及水的生产和供应业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科学研究和技术服务业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国际组织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居民服务、修理和和其他服务业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信息传输、软件和信息技术服务业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交通运输、仓储和邮政业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批发和零售业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教育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采矿业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租赁和商务服务业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住宿和餐饮业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金融业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文化、体育和娱乐业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制造业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农、林、牧、渔业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水利、环境和公共设施管理业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公共管理、社会保障和社会组织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房地产业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卫生和社会工作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建筑业</w:t>
            </w:r>
          </w:p>
        </w:tc>
        <w:tc>
          <w:tcPr>
            <w:tcW w:w="2400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企业规模 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18"/>
                <w:szCs w:val="18"/>
              </w:rPr>
              <w:t>必填（选择）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</w:t>
            </w:r>
          </w:p>
        </w:tc>
        <w:tc>
          <w:tcPr>
            <w:tcW w:w="3225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微型企业：从业人员小于10人或营业收入小于100万元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 w:type="textWrapping"/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小型企业：从业人员大于等于10人、小于100人，并且营业收入大于等于100万元、小于2000万元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 w:type="textWrapping"/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中型企业：从业人员大于等于100人、小于300人，并且营业收入大于等于2000万元、小于10000万元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 w:type="textWrapping"/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大型企业：从业人员大于等于300人，并且营业收入大于等于10000万元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 w:type="textWrapping"/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餐饮业 - 企业规模判断公式：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 w:type="textWrapping"/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微型企业：从业人员小于10人或营业收入小于100万元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 w:type="textWrapping"/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小型企业：从业人员大于等于10人、小于100人，并且营业收入大于等于100万元、小于2000万元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 w:type="textWrapping"/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中型企业：从业人员大于等于100人、小于300人，并且营业收入大于等于2000万元、小于10000万元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 w:type="textWrapping"/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大型企业：从业人员大于等于300人，并且营业收入大于等于10000万元</w:t>
            </w:r>
          </w:p>
        </w:tc>
      </w:tr>
      <w:tr>
        <w:tblPrEx>
          <w:tblBorders>
            <w:top w:val="none" w:color="auto" w:sz="0" w:space="0"/>
            <w:left w:val="single" w:color="888888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400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是否转制科研院所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18"/>
                <w:szCs w:val="18"/>
              </w:rPr>
              <w:t>必填（选择）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</w:t>
            </w:r>
          </w:p>
        </w:tc>
        <w:tc>
          <w:tcPr>
            <w:tcW w:w="3225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是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/否</w:t>
            </w:r>
          </w:p>
        </w:tc>
        <w:tc>
          <w:tcPr>
            <w:tcW w:w="2400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是否研发机构： 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18"/>
                <w:szCs w:val="18"/>
              </w:rPr>
              <w:t>必填（选择）</w:t>
            </w:r>
          </w:p>
        </w:tc>
        <w:tc>
          <w:tcPr>
            <w:tcW w:w="3240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是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/否</w:t>
            </w:r>
          </w:p>
        </w:tc>
      </w:tr>
      <w:tr>
        <w:tblPrEx>
          <w:tblBorders>
            <w:top w:val="none" w:color="auto" w:sz="0" w:space="0"/>
            <w:left w:val="single" w:color="888888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400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是否上市公司 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18"/>
                <w:szCs w:val="18"/>
              </w:rPr>
              <w:t>必填（选择）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</w:t>
            </w:r>
          </w:p>
        </w:tc>
        <w:tc>
          <w:tcPr>
            <w:tcW w:w="3240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是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/否</w:t>
            </w:r>
          </w:p>
        </w:tc>
        <w:tc>
          <w:tcPr>
            <w:tcW w:w="2400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如是，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18"/>
                <w:szCs w:val="18"/>
              </w:rPr>
              <w:t>必填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证券代码：</w:t>
            </w:r>
          </w:p>
        </w:tc>
        <w:tc>
          <w:tcPr>
            <w:tcW w:w="3225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single" w:color="888888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400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组织机构证代码 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18"/>
                <w:szCs w:val="18"/>
              </w:rPr>
              <w:t>必填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</w:t>
            </w:r>
          </w:p>
        </w:tc>
        <w:tc>
          <w:tcPr>
            <w:tcW w:w="3225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税务登记号 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18"/>
                <w:szCs w:val="18"/>
              </w:rPr>
              <w:t>必填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</w:t>
            </w:r>
          </w:p>
        </w:tc>
        <w:tc>
          <w:tcPr>
            <w:tcW w:w="3240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single" w:color="888888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400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法定代表人： 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18"/>
                <w:szCs w:val="18"/>
              </w:rPr>
              <w:t>必填</w:t>
            </w:r>
          </w:p>
        </w:tc>
        <w:tc>
          <w:tcPr>
            <w:tcW w:w="3240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bottom w:val="single" w:color="888888" w:sz="6" w:space="0"/>
              <w:right w:val="single" w:color="888888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0" w:space="0"/>
            <w:left w:val="single" w:color="888888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400" w:type="dxa"/>
            <w:vMerge w:val="restart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联系人： 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18"/>
                <w:szCs w:val="18"/>
              </w:rPr>
              <w:t>必填</w:t>
            </w:r>
          </w:p>
        </w:tc>
        <w:tc>
          <w:tcPr>
            <w:tcW w:w="3240" w:type="dxa"/>
            <w:vMerge w:val="restart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联系电话：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18"/>
                <w:szCs w:val="18"/>
              </w:rPr>
              <w:t>必填</w:t>
            </w:r>
          </w:p>
        </w:tc>
        <w:tc>
          <w:tcPr>
            <w:tcW w:w="3225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single" w:color="888888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bottom w:val="single" w:color="888888" w:sz="6" w:space="0"/>
              <w:right w:val="single" w:color="888888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bottom w:val="single" w:color="888888" w:sz="6" w:space="0"/>
              <w:right w:val="single" w:color="888888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电子邮件：</w:t>
            </w:r>
          </w:p>
        </w:tc>
        <w:tc>
          <w:tcPr>
            <w:tcW w:w="3225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pBdr>
          <w:top w:val="single" w:color="auto" w:sz="6" w:space="1"/>
        </w:pBdr>
        <w:jc w:val="center"/>
        <w:rPr>
          <w:rFonts w:ascii="Arial" w:hAnsi="Arial" w:eastAsia="宋体" w:cs="Arial"/>
          <w:vanish/>
          <w:kern w:val="0"/>
          <w:sz w:val="16"/>
          <w:szCs w:val="16"/>
        </w:rPr>
      </w:pPr>
      <w:r>
        <w:rPr>
          <w:rFonts w:hint="eastAsia" w:ascii="Arial" w:hAnsi="Arial" w:eastAsia="宋体" w:cs="Arial"/>
          <w:vanish/>
          <w:kern w:val="0"/>
          <w:sz w:val="16"/>
          <w:szCs w:val="16"/>
        </w:rPr>
        <w:t>窗体底端</w:t>
      </w:r>
    </w:p>
    <w:p>
      <w:pPr>
        <w:widowControl/>
        <w:shd w:val="clear" w:color="auto" w:fill="FFFFFF"/>
        <w:spacing w:line="240" w:lineRule="atLeast"/>
        <w:jc w:val="center"/>
        <w:rPr>
          <w:rFonts w:ascii="Verdana" w:hAnsi="Verdana" w:eastAsia="宋体" w:cs="宋体"/>
          <w:b/>
          <w:bCs/>
          <w:color w:val="0E2D5F"/>
          <w:kern w:val="0"/>
          <w:sz w:val="18"/>
          <w:szCs w:val="18"/>
        </w:rPr>
      </w:pPr>
      <w:r>
        <w:rPr>
          <w:rFonts w:ascii="Verdana" w:hAnsi="Verdana" w:eastAsia="宋体" w:cs="宋体"/>
          <w:b/>
          <w:bCs/>
          <w:color w:val="0E2D5F"/>
          <w:kern w:val="0"/>
          <w:sz w:val="18"/>
          <w:szCs w:val="18"/>
        </w:rPr>
        <w:t>合同信息</w:t>
      </w:r>
    </w:p>
    <w:p>
      <w:pPr>
        <w:widowControl/>
        <w:pBdr>
          <w:bottom w:val="single" w:color="auto" w:sz="6" w:space="1"/>
        </w:pBdr>
        <w:jc w:val="center"/>
        <w:rPr>
          <w:rFonts w:ascii="Arial" w:hAnsi="Arial" w:eastAsia="宋体" w:cs="Arial"/>
          <w:vanish/>
          <w:kern w:val="0"/>
          <w:sz w:val="16"/>
          <w:szCs w:val="16"/>
        </w:rPr>
      </w:pPr>
      <w:r>
        <w:rPr>
          <w:rFonts w:hint="eastAsia" w:ascii="Arial" w:hAnsi="Arial" w:eastAsia="宋体" w:cs="Arial"/>
          <w:vanish/>
          <w:kern w:val="0"/>
          <w:sz w:val="16"/>
          <w:szCs w:val="16"/>
        </w:rPr>
        <w:t>窗体顶端</w:t>
      </w:r>
    </w:p>
    <w:tbl>
      <w:tblPr>
        <w:tblStyle w:val="4"/>
        <w:tblW w:w="11700" w:type="dxa"/>
        <w:jc w:val="center"/>
        <w:tblBorders>
          <w:top w:val="none" w:color="auto" w:sz="0" w:space="0"/>
          <w:left w:val="single" w:color="888888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47"/>
        <w:gridCol w:w="3304"/>
        <w:gridCol w:w="2447"/>
        <w:gridCol w:w="3502"/>
      </w:tblGrid>
      <w:tr>
        <w:tblPrEx>
          <w:tblBorders>
            <w:top w:val="none" w:color="auto" w:sz="0" w:space="0"/>
            <w:left w:val="single" w:color="888888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400" w:type="dxa"/>
            <w:tcBorders>
              <w:top w:val="single" w:color="auto" w:sz="4" w:space="0"/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合同成交总金额： 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18"/>
                <w:szCs w:val="18"/>
              </w:rPr>
              <w:t>必填</w:t>
            </w:r>
          </w:p>
        </w:tc>
        <w:tc>
          <w:tcPr>
            <w:tcW w:w="3240" w:type="dxa"/>
            <w:tcBorders>
              <w:top w:val="single" w:color="auto" w:sz="4" w:space="0"/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ind w:firstLine="1080" w:firstLineChars="60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元</w:t>
            </w:r>
          </w:p>
        </w:tc>
        <w:tc>
          <w:tcPr>
            <w:tcW w:w="2400" w:type="dxa"/>
            <w:tcBorders>
              <w:top w:val="single" w:color="auto" w:sz="4" w:space="0"/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合同签订日期： 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18"/>
                <w:szCs w:val="18"/>
              </w:rPr>
              <w:t>必填</w:t>
            </w:r>
          </w:p>
        </w:tc>
        <w:tc>
          <w:tcPr>
            <w:tcW w:w="3225" w:type="dxa"/>
            <w:tcBorders>
              <w:top w:val="single" w:color="auto" w:sz="4" w:space="0"/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single" w:color="888888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400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其中技术交易额： 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18"/>
                <w:szCs w:val="18"/>
              </w:rPr>
              <w:t>必填</w:t>
            </w:r>
          </w:p>
        </w:tc>
        <w:tc>
          <w:tcPr>
            <w:tcW w:w="3240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ind w:firstLine="1080" w:firstLineChars="60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元（合同总金额扣除购置设备、仪器、零部件、原材料后的费用）</w:t>
            </w:r>
          </w:p>
        </w:tc>
        <w:tc>
          <w:tcPr>
            <w:tcW w:w="2400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合同起始日期： 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18"/>
                <w:szCs w:val="18"/>
              </w:rPr>
              <w:t>必填</w:t>
            </w:r>
          </w:p>
        </w:tc>
        <w:tc>
          <w:tcPr>
            <w:tcW w:w="3225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single" w:color="888888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400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支付方式： 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18"/>
                <w:szCs w:val="18"/>
              </w:rPr>
              <w:t>必填(选择)</w:t>
            </w:r>
          </w:p>
        </w:tc>
        <w:tc>
          <w:tcPr>
            <w:tcW w:w="3240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hd w:val="clear" w:color="auto" w:fill="EAF2FF"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提成支付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一次支付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分期支付</w:t>
            </w:r>
          </w:p>
        </w:tc>
        <w:tc>
          <w:tcPr>
            <w:tcW w:w="2400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合同结束日期： 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18"/>
                <w:szCs w:val="18"/>
              </w:rPr>
              <w:t>必填</w:t>
            </w:r>
          </w:p>
        </w:tc>
        <w:tc>
          <w:tcPr>
            <w:tcW w:w="3225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single" w:color="888888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400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合同类别： 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18"/>
                <w:szCs w:val="18"/>
              </w:rPr>
              <w:t>必填</w:t>
            </w:r>
          </w:p>
        </w:tc>
        <w:tc>
          <w:tcPr>
            <w:tcW w:w="9075" w:type="dxa"/>
            <w:gridSpan w:val="3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eastAsia="宋体" w:cs="宋体"/>
                <w:b/>
                <w:color w:val="000000"/>
                <w:kern w:val="0"/>
                <w:sz w:val="18"/>
                <w:szCs w:val="18"/>
              </w:rPr>
              <w:t>技术开发</w:t>
            </w:r>
            <w:r>
              <w:rPr>
                <w:rFonts w:hint="eastAsia" w:ascii="Verdana" w:hAnsi="Verdana" w:eastAsia="宋体" w:cs="宋体"/>
                <w:b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合作开发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委托开发</w:t>
            </w:r>
          </w:p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eastAsia="宋体" w:cs="宋体"/>
                <w:b/>
                <w:color w:val="000000"/>
                <w:kern w:val="0"/>
                <w:sz w:val="18"/>
                <w:szCs w:val="18"/>
              </w:rPr>
              <w:t>技术转让</w:t>
            </w:r>
            <w:r>
              <w:rPr>
                <w:rFonts w:hint="eastAsia" w:ascii="Verdana" w:hAnsi="Verdana" w:eastAsia="宋体" w:cs="宋体"/>
                <w:b/>
                <w:color w:val="000000"/>
                <w:kern w:val="0"/>
                <w:sz w:val="18"/>
                <w:szCs w:val="18"/>
              </w:rPr>
              <w:t xml:space="preserve">: 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植物新品种权转让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计算机软件著作权转让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专利权转让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技术秘密转让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集成电路布图设计专有权转让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设计著作权转让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专利申请权转让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专利实施许可转让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生物、医药新品种权转让</w:t>
            </w:r>
          </w:p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eastAsia="宋体" w:cs="宋体"/>
                <w:b/>
                <w:color w:val="000000"/>
                <w:kern w:val="0"/>
                <w:sz w:val="18"/>
                <w:szCs w:val="18"/>
              </w:rPr>
              <w:t>技术服务</w:t>
            </w:r>
            <w:r>
              <w:rPr>
                <w:rFonts w:hint="eastAsia" w:ascii="Verdana" w:hAnsi="Verdana" w:eastAsia="宋体" w:cs="宋体"/>
                <w:b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技术培训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一般性技术服务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技术中介</w:t>
            </w:r>
          </w:p>
          <w:p>
            <w:pPr>
              <w:widowControl/>
              <w:jc w:val="left"/>
              <w:rPr>
                <w:rFonts w:ascii="Verdana" w:hAnsi="Verdana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eastAsia="宋体" w:cs="宋体"/>
                <w:b/>
                <w:color w:val="000000"/>
                <w:kern w:val="0"/>
                <w:sz w:val="18"/>
                <w:szCs w:val="18"/>
              </w:rPr>
              <w:t>技术咨询</w:t>
            </w:r>
          </w:p>
          <w:p>
            <w:pPr>
              <w:widowControl/>
              <w:jc w:val="left"/>
              <w:rPr>
                <w:rFonts w:ascii="Verdana" w:hAnsi="Verdana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b/>
                <w:color w:val="000000"/>
                <w:kern w:val="0"/>
                <w:sz w:val="18"/>
                <w:szCs w:val="18"/>
              </w:rPr>
              <w:t>合同类别区分说明：</w:t>
            </w:r>
          </w:p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b/>
                <w:color w:val="FF0000"/>
                <w:kern w:val="0"/>
                <w:sz w:val="18"/>
                <w:szCs w:val="18"/>
              </w:rPr>
              <w:t>(1)技术开发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是指新技术、新产品、新工艺、新材料、新品种及其系统的研发。它应当同时符合目标明确、技术方案尚未掌握、预期成果有创新内容三个条件，三者缺一不可。</w:t>
            </w:r>
          </w:p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b/>
                <w:color w:val="FF0000"/>
                <w:kern w:val="0"/>
                <w:sz w:val="18"/>
                <w:szCs w:val="18"/>
              </w:rPr>
              <w:t>（2）技术转让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是指将已经掌握的技术成果，包括发明创造专利、技术秘密及其他知识产权成果让与他人。它应当同时符合以下三个条件：一是合同标的是已掌握的知识产权成果；二是该知识产权具有实用价值，即相关技术内容应构成一项产品、工艺、材料、品种及其改进的技术方案；三是发生知识产权有关权利的转移。</w:t>
            </w:r>
          </w:p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b/>
                <w:color w:val="FF0000"/>
                <w:kern w:val="0"/>
                <w:sz w:val="18"/>
                <w:szCs w:val="18"/>
              </w:rPr>
              <w:t>(3)技术咨询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是指就特定技术项目提供可行性论证、技术预测、专题技术调查、分析评价，它应当同时符合以下三个条件：一是合同标的为特定技术项目的咨询课题，即限于“特定技术项目”；二是咨询方式为运用科学知识和技术手段进行的分析、论证、评价和预测，即以咨询方式对科学技术知识进行应用、推广；三是工作成果是科技咨询报告和意见。</w:t>
            </w:r>
          </w:p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b/>
                <w:color w:val="FF0000"/>
                <w:kern w:val="0"/>
                <w:sz w:val="18"/>
                <w:szCs w:val="18"/>
              </w:rPr>
              <w:t>(4)技术服务</w:t>
            </w:r>
            <w:r>
              <w:rPr>
                <w:rFonts w:hint="eastAsia" w:ascii="Verdana" w:hAnsi="Verdana" w:eastAsia="宋体" w:cs="宋体"/>
                <w:kern w:val="0"/>
                <w:sz w:val="18"/>
                <w:szCs w:val="18"/>
              </w:rPr>
              <w:t>是指以技术知识解决特定技术问题，它应当同时符合以下四个条件：一是合同的标的为运用专业技术知识、经验和信息解决特定技术问题的服务性项目，即在性质上它属于专业技术知识、经验和信息的应用活动；二是服务内容为改进产品结构、改良工艺流程、提高产品质量、降低产品成本、节约资源能耗、保护资源环境、实现安全操作、提高经济效益和社会效益等专业技术工作，即它应定性为专业技术工作；三是工作成果有具体的质量和数量指标，即它应有明确的目标；四是技术知识的传递不涉及专利、技术秘密成果及其他知识产权，如果涉及知识产权，则属于技术转让。</w:t>
            </w:r>
          </w:p>
          <w:p>
            <w:pPr>
              <w:widowControl/>
              <w:jc w:val="left"/>
              <w:rPr>
                <w:rFonts w:ascii="Verdana" w:hAnsi="Verdana" w:eastAsia="宋体" w:cs="宋体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b/>
                <w:color w:val="FF0000"/>
                <w:kern w:val="0"/>
                <w:sz w:val="18"/>
                <w:szCs w:val="18"/>
              </w:rPr>
              <w:t>(5)技术培训</w:t>
            </w:r>
            <w:r>
              <w:rPr>
                <w:rFonts w:hint="eastAsia" w:ascii="Verdana" w:hAnsi="Verdana" w:eastAsia="宋体" w:cs="宋体"/>
                <w:kern w:val="0"/>
                <w:sz w:val="18"/>
                <w:szCs w:val="18"/>
              </w:rPr>
              <w:t>是对指定的专业技术人员进行特定项目的技术指导和业务训练，即特定项目的专业技术知识传授，它应当同时符合以下三个条件：一是合同标的是传授特定技术项目的专业技术知识；二是培训对象是与特定技术项目有关的专业技术人员；三是不涉及有关知识产权权利的转移。</w:t>
            </w:r>
          </w:p>
        </w:tc>
      </w:tr>
      <w:tr>
        <w:tblPrEx>
          <w:tblBorders>
            <w:top w:val="none" w:color="auto" w:sz="0" w:space="0"/>
            <w:left w:val="single" w:color="888888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400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知识产权：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18"/>
                <w:szCs w:val="18"/>
              </w:rPr>
              <w:t>必填（选择）</w:t>
            </w:r>
          </w:p>
        </w:tc>
        <w:tc>
          <w:tcPr>
            <w:tcW w:w="9075" w:type="dxa"/>
            <w:gridSpan w:val="3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技术秘密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未涉及专利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涉及专利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专利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外观设计专利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发明专利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实用新型专利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计算机软件著作权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设计著作权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集成电路布图设计专有权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植物新品种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生物、医药新品种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未涉及知识产权</w:t>
            </w:r>
          </w:p>
        </w:tc>
      </w:tr>
      <w:tr>
        <w:tblPrEx>
          <w:tblBorders>
            <w:top w:val="none" w:color="auto" w:sz="0" w:space="0"/>
            <w:left w:val="single" w:color="888888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400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含专利数量：</w:t>
            </w:r>
          </w:p>
        </w:tc>
        <w:tc>
          <w:tcPr>
            <w:tcW w:w="3240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其中含发明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专利数量：</w:t>
            </w:r>
          </w:p>
        </w:tc>
        <w:tc>
          <w:tcPr>
            <w:tcW w:w="3225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single" w:color="888888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400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其中含实用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新型专利数量：</w:t>
            </w:r>
          </w:p>
        </w:tc>
        <w:tc>
          <w:tcPr>
            <w:tcW w:w="3240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其中含外观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设计专利数量：</w:t>
            </w:r>
          </w:p>
        </w:tc>
        <w:tc>
          <w:tcPr>
            <w:tcW w:w="3225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single" w:color="888888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400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技术领域： 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18"/>
                <w:szCs w:val="18"/>
              </w:rPr>
              <w:t>必填（选择）</w:t>
            </w:r>
          </w:p>
        </w:tc>
        <w:tc>
          <w:tcPr>
            <w:tcW w:w="9075" w:type="dxa"/>
            <w:gridSpan w:val="3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  <w:t>电子信息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eastAsia="宋体" w:cs="宋体"/>
                <w:i/>
                <w:kern w:val="0"/>
                <w:sz w:val="18"/>
                <w:szCs w:val="18"/>
              </w:rPr>
              <w:t>计算机软件</w:t>
            </w:r>
            <w:r>
              <w:rPr>
                <w:rFonts w:hint="eastAsia" w:ascii="宋体" w:hAnsi="宋体" w:eastAsia="宋体" w:cs="宋体"/>
                <w:i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系统软件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应用软件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支撑软件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嵌入式软件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其他</w:t>
            </w:r>
          </w:p>
          <w:p>
            <w:pPr>
              <w:widowControl/>
              <w:ind w:firstLine="990" w:firstLineChars="55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/>
                <w:kern w:val="0"/>
                <w:sz w:val="18"/>
                <w:szCs w:val="18"/>
              </w:rPr>
              <w:t>计算机网络</w:t>
            </w:r>
            <w:r>
              <w:rPr>
                <w:rFonts w:hint="eastAsia" w:ascii="宋体" w:hAnsi="宋体" w:eastAsia="宋体" w:cs="宋体"/>
                <w:i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网络设备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接入网系统设备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网络安全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其他</w:t>
            </w:r>
          </w:p>
          <w:p>
            <w:pPr>
              <w:widowControl/>
              <w:ind w:firstLine="990" w:firstLineChars="55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/>
                <w:kern w:val="0"/>
                <w:sz w:val="18"/>
                <w:szCs w:val="18"/>
              </w:rPr>
              <w:t>微电子、光电子</w:t>
            </w:r>
            <w:r>
              <w:rPr>
                <w:rFonts w:hint="eastAsia" w:ascii="宋体" w:hAnsi="宋体" w:eastAsia="宋体" w:cs="宋体"/>
                <w:i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集成电路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微电子器件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光电子器件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其他</w:t>
            </w:r>
          </w:p>
          <w:p>
            <w:pPr>
              <w:widowControl/>
              <w:ind w:firstLine="990" w:firstLineChars="55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/>
                <w:kern w:val="0"/>
                <w:sz w:val="18"/>
                <w:szCs w:val="18"/>
              </w:rPr>
              <w:t>数字音视频</w:t>
            </w:r>
            <w:r>
              <w:rPr>
                <w:rFonts w:hint="eastAsia" w:ascii="宋体" w:hAnsi="宋体" w:eastAsia="宋体" w:cs="宋体"/>
                <w:i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数字视频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数字音频</w:t>
            </w:r>
          </w:p>
          <w:p>
            <w:pPr>
              <w:widowControl/>
              <w:ind w:firstLine="990" w:firstLineChars="55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/>
                <w:kern w:val="0"/>
                <w:sz w:val="18"/>
                <w:szCs w:val="18"/>
              </w:rPr>
              <w:t>通信</w:t>
            </w:r>
            <w:r>
              <w:rPr>
                <w:rFonts w:hint="eastAsia" w:ascii="宋体" w:hAnsi="宋体" w:eastAsia="宋体" w:cs="宋体"/>
                <w:i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动漫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电子专用设备及测试仪表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计算机硬件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  <w:t>航空航天</w:t>
            </w: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eastAsia="宋体" w:cs="宋体"/>
                <w:i/>
                <w:kern w:val="0"/>
                <w:sz w:val="18"/>
                <w:szCs w:val="18"/>
              </w:rPr>
              <w:t>航空</w:t>
            </w:r>
            <w:r>
              <w:rPr>
                <w:rFonts w:hint="eastAsia" w:ascii="宋体" w:hAnsi="宋体" w:eastAsia="宋体" w:cs="宋体"/>
                <w:i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民用航空飞行器及配套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新一代民用航空运输系统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其他</w:t>
            </w:r>
          </w:p>
          <w:p>
            <w:pPr>
              <w:widowControl/>
              <w:ind w:firstLine="990" w:firstLineChars="55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/>
                <w:kern w:val="0"/>
                <w:sz w:val="18"/>
                <w:szCs w:val="18"/>
              </w:rPr>
              <w:t>航天</w:t>
            </w:r>
            <w:r>
              <w:rPr>
                <w:rFonts w:hint="eastAsia" w:ascii="宋体" w:hAnsi="宋体" w:eastAsia="宋体" w:cs="宋体"/>
                <w:i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运载火箭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航天器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卫星通信应用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卫星导航应用服务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对地观测卫星应用系统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其他</w:t>
            </w:r>
          </w:p>
          <w:p>
            <w:pPr>
              <w:widowControl/>
              <w:ind w:left="1988" w:hanging="1988" w:hangingChars="110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  <w:t>先进制造</w:t>
            </w: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eastAsia="宋体" w:cs="宋体"/>
                <w:i/>
                <w:kern w:val="0"/>
                <w:sz w:val="18"/>
                <w:szCs w:val="18"/>
              </w:rPr>
              <w:t>先进制造工艺</w:t>
            </w:r>
            <w:r>
              <w:rPr>
                <w:rFonts w:hint="eastAsia" w:ascii="宋体" w:hAnsi="宋体" w:eastAsia="宋体" w:cs="宋体"/>
                <w:i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精密高效加工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激光加工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现代科学仪器设备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数字化专业设备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快速原型制造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高效节能内燃机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其他</w:t>
            </w:r>
          </w:p>
          <w:p>
            <w:pPr>
              <w:widowControl/>
              <w:ind w:left="1533" w:leftChars="430" w:hanging="630" w:hangingChars="35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/>
                <w:kern w:val="0"/>
                <w:sz w:val="18"/>
                <w:szCs w:val="18"/>
              </w:rPr>
              <w:t>自动化</w:t>
            </w:r>
            <w:r>
              <w:rPr>
                <w:rFonts w:hint="eastAsia" w:ascii="宋体" w:hAnsi="宋体" w:eastAsia="宋体" w:cs="宋体"/>
                <w:i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工业自动化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高精度数控机床及其功能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机器人(机器人)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柔性制造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新型传感器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其他</w:t>
            </w:r>
          </w:p>
          <w:p>
            <w:pPr>
              <w:widowControl/>
              <w:ind w:left="1533" w:leftChars="430" w:hanging="630" w:hangingChars="35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现代设计</w:t>
            </w:r>
          </w:p>
          <w:p>
            <w:pPr>
              <w:widowControl/>
              <w:ind w:left="1533" w:leftChars="430" w:hanging="630" w:hangingChars="35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系统管理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  <w:t>生物、医药和医疗器械</w:t>
            </w: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eastAsia="宋体" w:cs="宋体"/>
                <w:i/>
                <w:kern w:val="0"/>
                <w:sz w:val="18"/>
                <w:szCs w:val="18"/>
              </w:rPr>
              <w:t>生物</w:t>
            </w:r>
            <w:r>
              <w:rPr>
                <w:rFonts w:hint="eastAsia" w:ascii="宋体" w:hAnsi="宋体" w:eastAsia="宋体" w:cs="宋体"/>
                <w:i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生物反应及分离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新型疫苗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基因工程药物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单克隆抗体系列与检测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生物芯片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其他</w:t>
            </w:r>
          </w:p>
          <w:p>
            <w:pPr>
              <w:widowControl/>
              <w:ind w:firstLine="1980" w:firstLineChars="110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/>
                <w:kern w:val="0"/>
                <w:sz w:val="18"/>
                <w:szCs w:val="18"/>
              </w:rPr>
              <w:t>中药</w:t>
            </w:r>
            <w:r>
              <w:rPr>
                <w:rFonts w:hint="eastAsia" w:ascii="宋体" w:hAnsi="宋体" w:eastAsia="宋体" w:cs="宋体"/>
                <w:i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中药材及饮片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中药新药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中药制药工艺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其他</w:t>
            </w:r>
          </w:p>
          <w:p>
            <w:pPr>
              <w:widowControl/>
              <w:ind w:firstLine="1980" w:firstLineChars="110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/>
                <w:kern w:val="0"/>
                <w:sz w:val="18"/>
                <w:szCs w:val="18"/>
              </w:rPr>
              <w:t>化学药</w:t>
            </w:r>
            <w:r>
              <w:rPr>
                <w:rFonts w:hint="eastAsia" w:ascii="宋体" w:hAnsi="宋体" w:eastAsia="宋体" w:cs="宋体"/>
                <w:i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化学合成、半合成新药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天然产物中提取的新药及相关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现代药物制剂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其他</w:t>
            </w:r>
          </w:p>
          <w:p>
            <w:pPr>
              <w:widowControl/>
              <w:ind w:firstLine="1980" w:firstLineChars="110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新型医疗器械</w:t>
            </w:r>
          </w:p>
          <w:p>
            <w:pPr>
              <w:widowControl/>
              <w:ind w:firstLine="1980" w:firstLineChars="110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轻工、食品</w:t>
            </w:r>
          </w:p>
          <w:p>
            <w:pPr>
              <w:widowControl/>
              <w:ind w:firstLine="1980" w:firstLineChars="110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其他</w:t>
            </w:r>
          </w:p>
          <w:p>
            <w:pPr>
              <w:widowControl/>
              <w:ind w:left="2530" w:hanging="2530" w:hangingChars="140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  <w:t>新材料及其应用</w:t>
            </w: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eastAsia="宋体" w:cs="宋体"/>
                <w:i/>
                <w:kern w:val="0"/>
                <w:sz w:val="18"/>
                <w:szCs w:val="18"/>
              </w:rPr>
              <w:t>电子信息材料</w:t>
            </w:r>
            <w:r>
              <w:rPr>
                <w:rFonts w:hint="eastAsia" w:ascii="宋体" w:hAnsi="宋体" w:eastAsia="宋体" w:cs="宋体"/>
                <w:i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微电子材料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光电子材料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平板显示材料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固态激光材料</w:t>
            </w:r>
          </w:p>
          <w:p>
            <w:pPr>
              <w:widowControl/>
              <w:ind w:firstLine="1530" w:firstLineChars="85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/>
                <w:kern w:val="0"/>
                <w:sz w:val="18"/>
                <w:szCs w:val="18"/>
              </w:rPr>
              <w:t>节能新材料</w:t>
            </w:r>
            <w:r>
              <w:rPr>
                <w:rFonts w:hint="eastAsia" w:ascii="宋体" w:hAnsi="宋体" w:eastAsia="宋体" w:cs="宋体"/>
                <w:i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半导体照明材料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光伏电池材料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新能源材料</w:t>
            </w:r>
          </w:p>
          <w:p>
            <w:pPr>
              <w:widowControl/>
              <w:ind w:firstLine="1530" w:firstLineChars="85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/>
                <w:kern w:val="0"/>
                <w:sz w:val="18"/>
                <w:szCs w:val="18"/>
              </w:rPr>
              <w:t>先进金属材料</w:t>
            </w:r>
            <w:r>
              <w:rPr>
                <w:rFonts w:hint="eastAsia" w:ascii="宋体" w:hAnsi="宋体" w:eastAsia="宋体" w:cs="宋体"/>
                <w:i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超级钢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贵金属与有色金属材料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其他先进金属材料</w:t>
            </w:r>
          </w:p>
          <w:p>
            <w:pPr>
              <w:widowControl/>
              <w:ind w:firstLine="1530" w:firstLineChars="85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先进陶瓷材料</w:t>
            </w:r>
          </w:p>
          <w:p>
            <w:pPr>
              <w:widowControl/>
              <w:ind w:firstLine="1530" w:firstLineChars="85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稀土材料</w:t>
            </w:r>
          </w:p>
          <w:p>
            <w:pPr>
              <w:widowControl/>
              <w:ind w:firstLine="1530" w:firstLineChars="85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化工新材料</w:t>
            </w:r>
          </w:p>
          <w:p>
            <w:pPr>
              <w:widowControl/>
              <w:ind w:firstLine="1530" w:firstLineChars="85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生物材料</w:t>
            </w:r>
          </w:p>
          <w:p>
            <w:pPr>
              <w:widowControl/>
              <w:ind w:firstLine="1530" w:firstLineChars="85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磁性材料</w:t>
            </w:r>
          </w:p>
          <w:p>
            <w:pPr>
              <w:widowControl/>
              <w:ind w:firstLine="1530" w:firstLineChars="85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其他</w:t>
            </w:r>
          </w:p>
          <w:p>
            <w:pPr>
              <w:widowControl/>
              <w:ind w:firstLine="1530" w:firstLineChars="85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生态环境材料</w:t>
            </w:r>
          </w:p>
          <w:p>
            <w:pPr>
              <w:widowControl/>
              <w:ind w:firstLine="1530" w:firstLineChars="85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先进复合材料</w:t>
            </w:r>
          </w:p>
          <w:p>
            <w:pPr>
              <w:widowControl/>
              <w:ind w:firstLine="1530" w:firstLineChars="85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碳材料</w:t>
            </w:r>
          </w:p>
          <w:p>
            <w:pPr>
              <w:widowControl/>
              <w:ind w:firstLine="1530" w:firstLineChars="85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纳米材料及应用</w:t>
            </w:r>
          </w:p>
          <w:p>
            <w:pPr>
              <w:widowControl/>
              <w:ind w:firstLine="1530" w:firstLineChars="85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新型建筑材料</w:t>
            </w:r>
          </w:p>
          <w:p>
            <w:pPr>
              <w:widowControl/>
              <w:ind w:firstLine="1530" w:firstLineChars="85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膜材料</w:t>
            </w:r>
          </w:p>
          <w:p>
            <w:pPr>
              <w:widowControl/>
              <w:ind w:firstLine="1530" w:firstLineChars="85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超导材料</w:t>
            </w:r>
          </w:p>
          <w:p>
            <w:pPr>
              <w:widowControl/>
              <w:ind w:left="2349" w:hanging="2349" w:hangingChars="130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  <w:t>新能源与高效节能</w:t>
            </w: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eastAsia="宋体" w:cs="宋体"/>
                <w:i/>
                <w:kern w:val="0"/>
                <w:sz w:val="18"/>
                <w:szCs w:val="18"/>
              </w:rPr>
              <w:t>新型能源</w:t>
            </w:r>
            <w:r>
              <w:rPr>
                <w:rFonts w:hint="eastAsia" w:ascii="宋体" w:hAnsi="宋体" w:eastAsia="宋体" w:cs="宋体"/>
                <w:i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氢能开发利用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风能利用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太阳能利用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生物质能应用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地热能和海洋能应用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燃料电池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/ </w:t>
            </w:r>
          </w:p>
          <w:p>
            <w:pPr>
              <w:widowControl/>
              <w:ind w:left="2348" w:leftChars="1118" w:firstLine="180" w:firstLineChars="10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其他新能源</w:t>
            </w:r>
          </w:p>
          <w:p>
            <w:pPr>
              <w:widowControl/>
              <w:ind w:firstLine="1710" w:firstLineChars="95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/>
                <w:kern w:val="0"/>
                <w:sz w:val="18"/>
                <w:szCs w:val="18"/>
              </w:rPr>
              <w:t>石油天然气勘探开发及应用</w:t>
            </w:r>
            <w:r>
              <w:rPr>
                <w:rFonts w:hint="eastAsia" w:ascii="宋体" w:hAnsi="宋体" w:eastAsia="宋体" w:cs="宋体"/>
                <w:i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石油天然气勘测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油品加氢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长距离高压油气输送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其他</w:t>
            </w:r>
          </w:p>
          <w:p>
            <w:pPr>
              <w:widowControl/>
              <w:ind w:firstLine="1710" w:firstLineChars="95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/>
                <w:kern w:val="0"/>
                <w:sz w:val="18"/>
                <w:szCs w:val="18"/>
              </w:rPr>
              <w:t>新能源汽车</w:t>
            </w:r>
            <w:r>
              <w:rPr>
                <w:rFonts w:hint="eastAsia" w:ascii="宋体" w:hAnsi="宋体" w:eastAsia="宋体" w:cs="宋体"/>
                <w:i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混合动力汽车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纯电动汽车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燃料电池电动汽车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氢发动机汽车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其他新能源汽车</w:t>
            </w:r>
          </w:p>
          <w:p>
            <w:pPr>
              <w:widowControl/>
              <w:ind w:firstLine="1710" w:firstLineChars="95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高效节能</w:t>
            </w:r>
          </w:p>
          <w:p>
            <w:pPr>
              <w:widowControl/>
              <w:ind w:firstLine="1710" w:firstLineChars="95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煤炭能源的综合利用</w:t>
            </w:r>
          </w:p>
          <w:p>
            <w:pPr>
              <w:widowControl/>
              <w:ind w:firstLine="1710" w:firstLineChars="95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其他</w:t>
            </w:r>
          </w:p>
          <w:p>
            <w:pPr>
              <w:widowControl/>
              <w:ind w:firstLine="1710" w:firstLineChars="95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电能与电力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  <w:t>环境保护与资源综合利用</w:t>
            </w: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eastAsia="宋体" w:cs="宋体"/>
                <w:i/>
                <w:kern w:val="0"/>
                <w:sz w:val="18"/>
                <w:szCs w:val="18"/>
              </w:rPr>
              <w:t>固体废弃物处理与综合利用</w:t>
            </w:r>
            <w:r>
              <w:rPr>
                <w:rFonts w:hint="eastAsia" w:ascii="宋体" w:hAnsi="宋体" w:eastAsia="宋体" w:cs="宋体"/>
                <w:i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固体废弃物的处置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固体废弃物的综合利用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其他</w:t>
            </w:r>
          </w:p>
          <w:p>
            <w:pPr>
              <w:widowControl/>
              <w:ind w:firstLine="2250" w:firstLineChars="125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/>
                <w:kern w:val="0"/>
                <w:sz w:val="18"/>
                <w:szCs w:val="18"/>
              </w:rPr>
              <w:t>环境监测及环境生态保护</w:t>
            </w:r>
            <w:r>
              <w:rPr>
                <w:rFonts w:hint="eastAsia" w:ascii="宋体" w:hAnsi="宋体" w:eastAsia="宋体" w:cs="宋体"/>
                <w:i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环境监测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生态环境建设与保护</w:t>
            </w:r>
          </w:p>
          <w:p>
            <w:pPr>
              <w:widowControl/>
              <w:ind w:firstLine="2250" w:firstLineChars="125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/>
                <w:kern w:val="0"/>
                <w:sz w:val="18"/>
                <w:szCs w:val="18"/>
              </w:rPr>
              <w:t>海洋工程</w:t>
            </w:r>
            <w:r>
              <w:rPr>
                <w:rFonts w:hint="eastAsia" w:ascii="宋体" w:hAnsi="宋体" w:eastAsia="宋体" w:cs="宋体"/>
                <w:i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海洋监测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海洋生物活性物质及生物制品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海水养殖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海底资源环境勘测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其他</w:t>
            </w:r>
          </w:p>
          <w:p>
            <w:pPr>
              <w:widowControl/>
              <w:ind w:firstLine="2250" w:firstLineChars="125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资源综合利用</w:t>
            </w:r>
          </w:p>
          <w:p>
            <w:pPr>
              <w:widowControl/>
              <w:ind w:firstLine="2250" w:firstLineChars="125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其他</w:t>
            </w:r>
          </w:p>
          <w:p>
            <w:pPr>
              <w:widowControl/>
              <w:ind w:firstLine="2250" w:firstLineChars="125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大气污染防治</w:t>
            </w:r>
          </w:p>
          <w:p>
            <w:pPr>
              <w:widowControl/>
              <w:ind w:firstLine="2250" w:firstLineChars="125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噪声及辐射污染防治</w:t>
            </w:r>
          </w:p>
          <w:p>
            <w:pPr>
              <w:widowControl/>
              <w:ind w:firstLine="2250" w:firstLineChars="125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水污染防治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  <w:t>核应用</w:t>
            </w: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eastAsia="宋体" w:cs="宋体"/>
                <w:i/>
                <w:kern w:val="0"/>
                <w:sz w:val="18"/>
                <w:szCs w:val="18"/>
              </w:rPr>
              <w:t>核辐射</w:t>
            </w:r>
            <w:r>
              <w:rPr>
                <w:rFonts w:hint="eastAsia" w:ascii="宋体" w:hAnsi="宋体" w:eastAsia="宋体" w:cs="宋体"/>
                <w:i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同位素放射源及其生产装置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中子、电子、г等辐射及装置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辐射防护材料、仪器及装置</w:t>
            </w:r>
          </w:p>
          <w:p>
            <w:pPr>
              <w:widowControl/>
              <w:ind w:firstLine="810" w:firstLineChars="45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/>
                <w:kern w:val="0"/>
                <w:sz w:val="18"/>
                <w:szCs w:val="18"/>
              </w:rPr>
              <w:t>同位素及其应用</w:t>
            </w:r>
            <w:r>
              <w:rPr>
                <w:rFonts w:hint="eastAsia" w:ascii="宋体" w:hAnsi="宋体" w:eastAsia="宋体" w:cs="宋体"/>
                <w:i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同位素产品(含标记化合物、体内外药物等)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同位素分离及生产装置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同位素仪器仪表</w:t>
            </w:r>
          </w:p>
          <w:p>
            <w:pPr>
              <w:widowControl/>
              <w:ind w:left="1263" w:leftChars="387" w:hanging="450" w:hangingChars="25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/>
                <w:kern w:val="0"/>
                <w:sz w:val="18"/>
                <w:szCs w:val="18"/>
              </w:rPr>
              <w:t>核材料</w:t>
            </w:r>
            <w:r>
              <w:rPr>
                <w:rFonts w:hint="eastAsia" w:ascii="宋体" w:hAnsi="宋体" w:eastAsia="宋体" w:cs="宋体"/>
                <w:i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铀、铀合金及铀化合物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核燃料，核燃料元件、组件及其生产装置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其它核材料</w:t>
            </w:r>
          </w:p>
          <w:p>
            <w:pPr>
              <w:widowControl/>
              <w:ind w:left="1263" w:leftChars="387" w:hanging="450" w:hangingChars="25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/>
                <w:kern w:val="0"/>
                <w:sz w:val="18"/>
                <w:szCs w:val="18"/>
              </w:rPr>
              <w:t>核反应堆及其配套装置</w:t>
            </w:r>
            <w:r>
              <w:rPr>
                <w:rFonts w:hint="eastAsia" w:ascii="宋体" w:hAnsi="宋体" w:eastAsia="宋体" w:cs="宋体"/>
                <w:i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研究性核反应堆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核动力装置</w:t>
            </w:r>
          </w:p>
          <w:p>
            <w:pPr>
              <w:widowControl/>
              <w:ind w:left="1263" w:leftChars="387" w:hanging="450" w:hangingChars="25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核物理和核化学实验仪器及设备</w:t>
            </w:r>
          </w:p>
          <w:p>
            <w:pPr>
              <w:widowControl/>
              <w:ind w:left="1263" w:leftChars="387" w:hanging="450" w:hangingChars="25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核探测器件和核电子产品</w:t>
            </w:r>
          </w:p>
          <w:p>
            <w:pPr>
              <w:widowControl/>
              <w:ind w:left="1263" w:leftChars="387" w:hanging="450" w:hangingChars="25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核医学诊断及治疗仪器和设备</w:t>
            </w:r>
          </w:p>
          <w:p>
            <w:pPr>
              <w:widowControl/>
              <w:ind w:left="1263" w:leftChars="387" w:hanging="450" w:hangingChars="25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加速器及配套装置(含离子源)</w:t>
            </w:r>
          </w:p>
          <w:p>
            <w:pPr>
              <w:widowControl/>
              <w:ind w:left="1263" w:leftChars="387" w:hanging="450" w:hangingChars="25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辐射加工</w:t>
            </w:r>
          </w:p>
          <w:p>
            <w:pPr>
              <w:widowControl/>
              <w:ind w:left="1263" w:leftChars="387" w:hanging="450" w:hangingChars="25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放射性三废处理、处置</w:t>
            </w:r>
          </w:p>
          <w:p>
            <w:pPr>
              <w:widowControl/>
              <w:ind w:left="631" w:hanging="631" w:hangingChars="349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  <w:t>农业</w:t>
            </w: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生物农药及生物防治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农业机械设备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新型饲料、肥料及添加剂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家畜良种胚胎生物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农副产品贮藏、加工优良动植物新品种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  <w:t>现代交通</w:t>
            </w: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eastAsia="宋体" w:cs="宋体"/>
                <w:i/>
                <w:kern w:val="0"/>
                <w:sz w:val="18"/>
                <w:szCs w:val="18"/>
              </w:rPr>
              <w:t>城市交通</w:t>
            </w:r>
            <w:r>
              <w:rPr>
                <w:rFonts w:hint="eastAsia" w:ascii="宋体" w:hAnsi="宋体" w:eastAsia="宋体" w:cs="宋体"/>
                <w:i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疏导交通先进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公共道路交通先进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信息化、智能化交通管理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其他</w:t>
            </w:r>
          </w:p>
          <w:p>
            <w:pPr>
              <w:widowControl/>
              <w:ind w:firstLine="900" w:firstLineChars="50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/>
                <w:kern w:val="0"/>
                <w:sz w:val="18"/>
                <w:szCs w:val="18"/>
              </w:rPr>
              <w:t>公路、水运、海运和空运</w:t>
            </w:r>
            <w:r>
              <w:rPr>
                <w:rFonts w:hint="eastAsia" w:ascii="宋体" w:hAnsi="宋体" w:eastAsia="宋体" w:cs="宋体"/>
                <w:i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公路交通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水运交通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海运交通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空运交通</w:t>
            </w:r>
          </w:p>
          <w:p>
            <w:pPr>
              <w:widowControl/>
              <w:ind w:firstLine="900" w:firstLineChars="50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/>
                <w:kern w:val="0"/>
                <w:sz w:val="18"/>
                <w:szCs w:val="18"/>
              </w:rPr>
              <w:t>轨道交通</w:t>
            </w:r>
            <w:r>
              <w:rPr>
                <w:rFonts w:hint="eastAsia" w:ascii="宋体" w:hAnsi="宋体" w:eastAsia="宋体" w:cs="宋体"/>
                <w:i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地铁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电力机车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动车组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高铁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磁悬浮列车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其他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  <w:t>城市建设与社会发展</w:t>
            </w: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eastAsia="宋体" w:cs="宋体"/>
                <w:i/>
                <w:kern w:val="0"/>
                <w:sz w:val="18"/>
                <w:szCs w:val="18"/>
              </w:rPr>
              <w:t>城市建设</w:t>
            </w:r>
            <w:r>
              <w:rPr>
                <w:rFonts w:hint="eastAsia" w:ascii="宋体" w:hAnsi="宋体" w:eastAsia="宋体" w:cs="宋体"/>
                <w:i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园林绿化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市政建设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其他</w:t>
            </w:r>
          </w:p>
          <w:p>
            <w:pPr>
              <w:widowControl/>
              <w:ind w:firstLine="1890" w:firstLineChars="105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/>
                <w:kern w:val="0"/>
                <w:sz w:val="18"/>
                <w:szCs w:val="18"/>
              </w:rPr>
              <w:t>城市安全</w:t>
            </w:r>
            <w:r>
              <w:rPr>
                <w:rFonts w:hint="eastAsia" w:ascii="宋体" w:hAnsi="宋体" w:eastAsia="宋体" w:cs="宋体"/>
                <w:i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减灾防灾与突发事件的监测与处理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社会安全保障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突发事故应急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其他</w:t>
            </w:r>
          </w:p>
          <w:p>
            <w:pPr>
              <w:widowControl/>
              <w:ind w:firstLine="1890" w:firstLineChars="105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文教、体育</w:t>
            </w:r>
          </w:p>
          <w:p>
            <w:pPr>
              <w:widowControl/>
              <w:ind w:firstLine="1890" w:firstLineChars="105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single" w:color="888888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400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项目计划来源： 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18"/>
                <w:szCs w:val="18"/>
              </w:rPr>
              <w:t>必填（选择）</w:t>
            </w:r>
          </w:p>
        </w:tc>
        <w:tc>
          <w:tcPr>
            <w:tcW w:w="9075" w:type="dxa"/>
            <w:gridSpan w:val="3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0"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  <w:t>国家科技计划</w:t>
            </w: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：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</w:rPr>
              <w:t>火炬计划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</w:rPr>
              <w:t>科技兴贸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）/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</w:rPr>
              <w:t>国家重点新产品计划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</w:rPr>
              <w:t>国际科技合作计划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</w:rPr>
              <w:t>科技型中小企业技术创新基金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</w:rPr>
              <w:t>国家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</w:rPr>
              <w:t xml:space="preserve">   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 xml:space="preserve">   </w:t>
            </w:r>
          </w:p>
          <w:p>
            <w:pPr>
              <w:widowControl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0"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 xml:space="preserve">              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</w:rPr>
              <w:t>科技重大专项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</w:rPr>
              <w:t>国际热核聚变实验堆（ITER）计划专项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</w:rPr>
              <w:t>国家科技支撑计划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</w:rPr>
              <w:t>自然科学基金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</w:rPr>
              <w:t>其他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</w:rPr>
              <w:t>国家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</w:rPr>
              <w:t xml:space="preserve"> </w:t>
            </w:r>
          </w:p>
          <w:p>
            <w:pPr>
              <w:widowControl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0"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</w:rPr>
              <w:t xml:space="preserve">              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</w:rPr>
              <w:t>农业科技成果转化资金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</w:rPr>
              <w:t>星火计划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</w:rPr>
              <w:t>科技惠民计划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</w:rPr>
              <w:t>科技基础条件平台建设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</w:rPr>
              <w:t>科研院所技术开发研究专项</w:t>
            </w:r>
          </w:p>
          <w:p>
            <w:pPr>
              <w:widowControl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0"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</w:rPr>
              <w:t xml:space="preserve">              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</w:rPr>
              <w:t>资金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</w:rPr>
              <w:t>科技富民强县专项行动计划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</w:rPr>
              <w:t>国家软科学研究计划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</w:rPr>
              <w:t>基础研究计划（973计划）、国家重大科学</w:t>
            </w:r>
          </w:p>
          <w:p>
            <w:pPr>
              <w:widowControl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0"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</w:rPr>
              <w:t xml:space="preserve">              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</w:rPr>
              <w:t>研究计划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</w:rPr>
              <w:t>高技术研究发展计划（863计划）</w:t>
            </w:r>
          </w:p>
          <w:p>
            <w:pPr>
              <w:widowControl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0"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b/>
                <w:color w:val="000000"/>
                <w:kern w:val="0"/>
                <w:sz w:val="18"/>
              </w:rPr>
              <w:t>部门计划：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</w:rPr>
              <w:t>_________________（具体部委名称）</w:t>
            </w:r>
          </w:p>
          <w:p>
            <w:pPr>
              <w:widowControl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0"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</w:rPr>
            </w:pPr>
            <w:r>
              <w:rPr>
                <w:rFonts w:ascii="Verdana" w:hAnsi="Verdana" w:eastAsia="宋体" w:cs="宋体"/>
                <w:b/>
                <w:color w:val="000000"/>
                <w:kern w:val="0"/>
                <w:sz w:val="18"/>
              </w:rPr>
              <w:t>省、自治区、直辖市及计划单列市、新疆兵团计划</w:t>
            </w:r>
            <w:r>
              <w:rPr>
                <w:rFonts w:hint="eastAsia" w:ascii="Verdana" w:hAnsi="Verdana" w:eastAsia="宋体" w:cs="宋体"/>
                <w:b/>
                <w:color w:val="000000"/>
                <w:kern w:val="0"/>
                <w:sz w:val="18"/>
              </w:rPr>
              <w:t>：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</w:rPr>
              <w:t>_________________（具体省份名称）</w:t>
            </w:r>
          </w:p>
          <w:p>
            <w:pPr>
              <w:widowControl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0"/>
              <w:jc w:val="left"/>
              <w:rPr>
                <w:rFonts w:ascii="Verdana" w:hAnsi="Verdana" w:eastAsia="宋体" w:cs="宋体"/>
                <w:b/>
                <w:color w:val="000000"/>
                <w:kern w:val="0"/>
                <w:sz w:val="18"/>
              </w:rPr>
            </w:pPr>
            <w:r>
              <w:rPr>
                <w:rFonts w:hint="eastAsia" w:ascii="Verdana" w:hAnsi="Verdana" w:eastAsia="宋体" w:cs="宋体"/>
                <w:b/>
                <w:color w:val="000000"/>
                <w:kern w:val="0"/>
                <w:sz w:val="18"/>
              </w:rPr>
              <w:t>地市县计划</w:t>
            </w:r>
          </w:p>
          <w:p>
            <w:pPr>
              <w:widowControl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0"/>
              <w:jc w:val="left"/>
              <w:rPr>
                <w:rFonts w:ascii="Verdana" w:hAnsi="Verdana" w:eastAsia="宋体" w:cs="宋体"/>
                <w:b/>
                <w:color w:val="000000"/>
                <w:kern w:val="0"/>
                <w:sz w:val="18"/>
              </w:rPr>
            </w:pPr>
            <w:r>
              <w:rPr>
                <w:rFonts w:hint="eastAsia" w:ascii="Verdana" w:hAnsi="Verdana" w:eastAsia="宋体" w:cs="宋体"/>
                <w:b/>
                <w:color w:val="000000"/>
                <w:kern w:val="0"/>
                <w:sz w:val="18"/>
              </w:rPr>
              <w:t>师市、院校计划</w:t>
            </w:r>
          </w:p>
          <w:p>
            <w:pPr>
              <w:widowControl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0"/>
              <w:jc w:val="left"/>
              <w:rPr>
                <w:rFonts w:ascii="Verdana" w:hAnsi="Verdana" w:eastAsia="宋体" w:cs="宋体"/>
                <w:b/>
                <w:color w:val="000000"/>
                <w:kern w:val="0"/>
                <w:sz w:val="18"/>
              </w:rPr>
            </w:pPr>
            <w:r>
              <w:rPr>
                <w:rFonts w:hint="eastAsia" w:ascii="Verdana" w:hAnsi="Verdana" w:eastAsia="宋体" w:cs="宋体"/>
                <w:b/>
                <w:color w:val="000000"/>
                <w:kern w:val="0"/>
                <w:sz w:val="18"/>
              </w:rPr>
              <w:t>计划外</w:t>
            </w:r>
          </w:p>
        </w:tc>
      </w:tr>
      <w:tr>
        <w:tblPrEx>
          <w:tblBorders>
            <w:top w:val="none" w:color="auto" w:sz="0" w:space="0"/>
            <w:left w:val="single" w:color="888888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400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社会经济目标：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18"/>
                <w:szCs w:val="18"/>
              </w:rPr>
              <w:t>必填（选择）</w:t>
            </w:r>
          </w:p>
        </w:tc>
        <w:tc>
          <w:tcPr>
            <w:tcW w:w="3240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环境保护、生态建设及污染防治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社会发展和社会服务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卫生事业发展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国防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民用空间探测及开发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教育事业发展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非定向研究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能源生产、分配和合理利用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其他民用目标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地球和大气层的探索与利用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农林牧渔业发展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基础设施以及城市和农村规划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工商业发展</w:t>
            </w:r>
          </w:p>
        </w:tc>
        <w:tc>
          <w:tcPr>
            <w:tcW w:w="2400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技术服务的国民经济行业：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18"/>
                <w:szCs w:val="18"/>
              </w:rPr>
              <w:t>必填（选择）</w:t>
            </w:r>
          </w:p>
        </w:tc>
        <w:tc>
          <w:tcPr>
            <w:tcW w:w="3225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电力、热力、燃气及水的生产和供应业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科学研究和技术服务业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国际组织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居民服务、修理和和其他服务业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信息传输、软件和信息技术服务业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交通运输、仓储和邮政业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批发和零售业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教育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采矿业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租赁和商务服务业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住宿和餐饮业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金融业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文化、体育和娱乐业</w:t>
            </w:r>
          </w:p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制造业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农、林、牧、渔业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水利、环境和公共设施管理业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公共管理、社会保障和社会组织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房地产业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卫生和社会工作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建筑业</w:t>
            </w:r>
          </w:p>
        </w:tc>
      </w:tr>
      <w:tr>
        <w:tblPrEx>
          <w:tblBorders>
            <w:top w:val="none" w:color="auto" w:sz="0" w:space="0"/>
            <w:left w:val="single" w:color="888888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400" w:type="dxa"/>
            <w:vMerge w:val="restart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关联交易：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18"/>
                <w:szCs w:val="18"/>
              </w:rPr>
              <w:t>必填（选择）</w:t>
            </w:r>
          </w:p>
        </w:tc>
        <w:tc>
          <w:tcPr>
            <w:tcW w:w="9075" w:type="dxa"/>
            <w:gridSpan w:val="3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(关联交易：具有产权关系的技术买方和卖方的技术交易行为。如：子公司与母公司之间的技术交易、外国公司与其在京设立的研发机构之间技术交易等。)</w:t>
            </w:r>
          </w:p>
        </w:tc>
      </w:tr>
      <w:tr>
        <w:tblPrEx>
          <w:tblBorders>
            <w:top w:val="none" w:color="auto" w:sz="0" w:space="0"/>
            <w:left w:val="single" w:color="888888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bottom w:val="single" w:color="888888" w:sz="6" w:space="0"/>
              <w:right w:val="single" w:color="888888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075" w:type="dxa"/>
            <w:gridSpan w:val="3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是/否</w:t>
            </w:r>
          </w:p>
        </w:tc>
      </w:tr>
      <w:tr>
        <w:tblPrEx>
          <w:tblBorders>
            <w:top w:val="none" w:color="auto" w:sz="0" w:space="0"/>
            <w:left w:val="single" w:color="888888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400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课题立项名称：</w:t>
            </w:r>
          </w:p>
        </w:tc>
        <w:tc>
          <w:tcPr>
            <w:tcW w:w="3240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课题立项编号：</w:t>
            </w:r>
          </w:p>
        </w:tc>
        <w:tc>
          <w:tcPr>
            <w:tcW w:w="3225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single" w:color="888888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400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科技成果登记部门批准登记号：</w:t>
            </w:r>
          </w:p>
        </w:tc>
        <w:tc>
          <w:tcPr>
            <w:tcW w:w="3240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bottom w:val="single" w:color="888888" w:sz="6" w:space="0"/>
              <w:right w:val="single" w:color="888888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0" w:space="0"/>
            <w:left w:val="single" w:color="888888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widowControl/>
              <w:spacing w:line="225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>
      <w:pPr>
        <w:widowControl/>
        <w:pBdr>
          <w:top w:val="single" w:color="auto" w:sz="6" w:space="1"/>
        </w:pBdr>
        <w:jc w:val="center"/>
        <w:rPr>
          <w:rFonts w:ascii="Arial" w:hAnsi="Arial" w:eastAsia="宋体" w:cs="Arial"/>
          <w:vanish/>
          <w:kern w:val="0"/>
          <w:sz w:val="16"/>
          <w:szCs w:val="16"/>
        </w:rPr>
      </w:pPr>
      <w:r>
        <w:rPr>
          <w:rFonts w:hint="eastAsia" w:ascii="Arial" w:hAnsi="Arial" w:eastAsia="宋体" w:cs="Arial"/>
          <w:vanish/>
          <w:kern w:val="0"/>
          <w:sz w:val="16"/>
          <w:szCs w:val="16"/>
        </w:rPr>
        <w:t>窗体底端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技术合同登记须提供材料清单：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（1）技术合同登记表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（2）技术合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同扫描件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（3）对方统一社会信用代码的营业执照副本扫描件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（4）技术方案（合同金额100万及以上提供）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（5）费用构成清单（不含学校配套金额的预算表）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（6）发票及该项目合同资金流水（到账凭证）</w:t>
      </w:r>
    </w:p>
    <w:p>
      <w:pPr>
        <w:rPr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1B1654"/>
    <w:multiLevelType w:val="multilevel"/>
    <w:tmpl w:val="0C1B165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42BD1404"/>
    <w:multiLevelType w:val="multilevel"/>
    <w:tmpl w:val="42BD140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JjMjBlMDhiZmZlYzFjNjVhZmRjYTEzMzU5NzBkODIifQ=="/>
  </w:docVars>
  <w:rsids>
    <w:rsidRoot w:val="00FE6777"/>
    <w:rsid w:val="00023D22"/>
    <w:rsid w:val="000324C4"/>
    <w:rsid w:val="00066BCD"/>
    <w:rsid w:val="000B7E81"/>
    <w:rsid w:val="000C004F"/>
    <w:rsid w:val="000D2F2E"/>
    <w:rsid w:val="001D67FA"/>
    <w:rsid w:val="001F2060"/>
    <w:rsid w:val="002A5D44"/>
    <w:rsid w:val="002D1C5D"/>
    <w:rsid w:val="00301E9B"/>
    <w:rsid w:val="003275CA"/>
    <w:rsid w:val="00344809"/>
    <w:rsid w:val="003523F4"/>
    <w:rsid w:val="00384B8C"/>
    <w:rsid w:val="003D2A14"/>
    <w:rsid w:val="003F6215"/>
    <w:rsid w:val="00426427"/>
    <w:rsid w:val="0043701C"/>
    <w:rsid w:val="00450B0E"/>
    <w:rsid w:val="00467C5A"/>
    <w:rsid w:val="00470322"/>
    <w:rsid w:val="004A7BB8"/>
    <w:rsid w:val="004E7DC9"/>
    <w:rsid w:val="00542744"/>
    <w:rsid w:val="005766FE"/>
    <w:rsid w:val="006103A3"/>
    <w:rsid w:val="006218D7"/>
    <w:rsid w:val="00632F87"/>
    <w:rsid w:val="00740C3B"/>
    <w:rsid w:val="007C03D6"/>
    <w:rsid w:val="007D1AD6"/>
    <w:rsid w:val="007E29EC"/>
    <w:rsid w:val="00860854"/>
    <w:rsid w:val="009032D7"/>
    <w:rsid w:val="00974B1A"/>
    <w:rsid w:val="00995D4D"/>
    <w:rsid w:val="00A3222B"/>
    <w:rsid w:val="00A328D3"/>
    <w:rsid w:val="00B25368"/>
    <w:rsid w:val="00B934E9"/>
    <w:rsid w:val="00BB2A26"/>
    <w:rsid w:val="00BD537C"/>
    <w:rsid w:val="00BD7CAE"/>
    <w:rsid w:val="00BF1A37"/>
    <w:rsid w:val="00C67D42"/>
    <w:rsid w:val="00CD2DCF"/>
    <w:rsid w:val="00D23B19"/>
    <w:rsid w:val="00D30F4F"/>
    <w:rsid w:val="00D80C12"/>
    <w:rsid w:val="00E45DA4"/>
    <w:rsid w:val="00E73A9D"/>
    <w:rsid w:val="00E75C0A"/>
    <w:rsid w:val="00E901D6"/>
    <w:rsid w:val="00EE6C1A"/>
    <w:rsid w:val="00F04D69"/>
    <w:rsid w:val="00F33859"/>
    <w:rsid w:val="00F571A8"/>
    <w:rsid w:val="00FC5F8D"/>
    <w:rsid w:val="00FE6777"/>
    <w:rsid w:val="0C6C7B0E"/>
    <w:rsid w:val="17A7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customStyle="1" w:styleId="8">
    <w:name w:val="HTML Top of Form"/>
    <w:basedOn w:val="1"/>
    <w:next w:val="1"/>
    <w:link w:val="9"/>
    <w:semiHidden/>
    <w:unhideWhenUsed/>
    <w:uiPriority w:val="99"/>
    <w:pPr>
      <w:widowControl/>
      <w:pBdr>
        <w:bottom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9">
    <w:name w:val="z-窗体顶端 Char"/>
    <w:basedOn w:val="5"/>
    <w:link w:val="8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character" w:customStyle="1" w:styleId="10">
    <w:name w:val="define_combox"/>
    <w:basedOn w:val="5"/>
    <w:uiPriority w:val="0"/>
  </w:style>
  <w:style w:type="paragraph" w:customStyle="1" w:styleId="11">
    <w:name w:val="HTML Bottom of Form"/>
    <w:basedOn w:val="1"/>
    <w:next w:val="1"/>
    <w:link w:val="12"/>
    <w:semiHidden/>
    <w:unhideWhenUsed/>
    <w:uiPriority w:val="99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2">
    <w:name w:val="z-窗体底端 Char"/>
    <w:basedOn w:val="5"/>
    <w:link w:val="11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character" w:customStyle="1" w:styleId="13">
    <w:name w:val="define_datebox"/>
    <w:basedOn w:val="5"/>
    <w:uiPriority w:val="0"/>
  </w:style>
  <w:style w:type="character" w:customStyle="1" w:styleId="14">
    <w:name w:val="tree-titl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760</Words>
  <Characters>4335</Characters>
  <Lines>36</Lines>
  <Paragraphs>10</Paragraphs>
  <TotalTime>1</TotalTime>
  <ScaleCrop>false</ScaleCrop>
  <LinksUpToDate>false</LinksUpToDate>
  <CharactersWithSpaces>5085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2021-09-07T01:52:00Z</dcterms:created>
  <dc:creator>Lenovo</dc:creator>
  <cp:lastModifiedBy>小苏同学</cp:lastModifiedBy>
  <cp:lastPrinted>2021-11-22T08:16:00Z</cp:lastPrinted>
  <dcterms:modified xsi:type="dcterms:W3CDTF">2022-11-21T07:27:56Z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D7D36BCADD81449BBB06536C36F9C728</vt:lpwstr>
  </property>
</Properties>
</file>